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righ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Ver.2 dat. 1.5.202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left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Příloha č. 5</w:t>
        <w:br/>
        <w:br/>
        <w:t>Ceny a způsob jejich určení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</w:t>
        <w:br/>
        <w:t>Stanovení principu maximálních velkoobchodních cen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ceny poskytovaných služeb Partnerovi v rámci velkoobchodní nabídky United Networks SE stanoví podle podmínek dotačního titulu k dotované síti dle jednotlivých typů nabízeného přístupu.</w:t>
        <w:br/>
        <w:t>Velkoobchodní ceny jsou stanoveny jako ceny maximální, v případě sjednání cen nižších, bude United Networks SE v souladu přistupovat ke všem oprávněným zájemcům nediskriminačně.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t>Článek II</w:t>
        <w:br/>
        <w:t>Velkoobchodní ceny za služb</w:t>
      </w:r>
      <w:r>
        <w:rPr>
          <w:rFonts w:eastAsia="SansationUN" w:cs="SansationUN" w:ascii="SansationUN" w:hAnsi="SansationUN"/>
          <w:b/>
          <w:sz w:val="22"/>
          <w:szCs w:val="22"/>
        </w:rPr>
        <w:t xml:space="preserve">u </w:t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kovového vedení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ceny za služby přístupu k pasivní infrastruktuře a za služby zpřístupnění optického a kovového vedení poskytované v rámci povinné velkoobchodní nabídky jsou nákladově orientované.</w:t>
        <w:br/>
        <w:br/>
        <w:t>Kalkulaci nákladově orientovaných cen zahrnují jen efektivně a účelně vynaložené náklady spojené s pořízením a provozováním prvků infrastruktury a přiměřený zisk, který se odvíjí od aktuálně platně ČTÚ stanovené hodnoty WACC. Kalkulace ceny není zatěžována nákladovými položkami, které nejsou objektivně nezbytné k poskytování výše uvedených služeb.</w:t>
        <w:br/>
        <w:br/>
        <w:t>Velkoobchodní ceny za služby přístupu k pasivní infrastruktuře nezahrnují  přijatou dotační podporu, ale pouze vlastní (tj. nedotované) náklady vynaložené příjemcem dotační podpory.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Základní cena pro neomezený počet připojených KZP je 500.- Kč bez DPH  měsíčně.</w:t>
        <w:br/>
        <w:br/>
        <w:t xml:space="preserve">Volitelná služba,  monitorování neomezeného počtu KZP v CRM a dohledovém centru United Networks SE,  rozšířená podpora procesů a odstraňování poruch v rozsahu 30 min. na jednoho KZP bez výjezdu technika,  je 3000.- Kč bez DPH měsíčně.  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5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5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5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333375</wp:posOffset>
            </wp:positionH>
            <wp:positionV relativeFrom="paragraph">
              <wp:posOffset>219075</wp:posOffset>
            </wp:positionV>
            <wp:extent cx="4463415" cy="1301115"/>
            <wp:effectExtent l="0" t="0" r="0" b="0"/>
            <wp:wrapTopAndBottom/>
            <wp:docPr id="1" name="image3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41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5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Rozvaděče a distribuční skříně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0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Partnerovi bude účtována poměrná část, která se rovná měsíční ceně pronájmu*Počet připojení United Networks SE/Počet připojení Partnera, za předpokladu, že obsazení  plocha zařízení Partnera a United Networks SE bude cca. 1:1 .</w:t>
        <w:br/>
        <w:br/>
        <w:t>Příklad : Průměrná měsíční cena pronájmu celého rozvaděče je 1000 Kč bez DPH měsíčně, počet připojených zákazníků United Networks SE = 100, Počet připojených zákazníků Partnera = 10,00 Kč. Cena pronájmu umístění jednoho Uživatele(Zákazníka) Partnera je 10,00 Kč</w:t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III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Určení maximální velkoobchodní ceny VULA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88" w:before="0" w:after="0"/>
        <w:ind w:left="135" w:right="133" w:hanging="0"/>
        <w:jc w:val="both"/>
        <w:rPr>
          <w:sz w:val="22"/>
          <w:szCs w:val="22"/>
        </w:rPr>
      </w:pPr>
      <w:bookmarkStart w:id="0" w:name="_heading=h.gjdgxs"/>
      <w:bookmarkEnd w:id="0"/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United Networks SE může stanovit velkoobchodní cenu za službu aktivního přístupu VULA maximálně ve výši odpovídající ceně stanovené metodou „retail minus“, přičemž velikost marže stanoví správce dotačního programu v součinnosti s ČTÚ. Metoda „retail minus“ se aplikuje na základní (nejlevnější) maloobchodní produkt přístupu k síti Internet.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Cena velkoobchodní služby VULA se stanoví podle vzorce:</w:t>
        <w:br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sz w:val="22"/>
          <w:szCs w:val="22"/>
        </w:rPr>
      </w:pPr>
      <w:r>
        <w:rPr/>
        <w:drawing>
          <wp:inline distT="0" distB="0" distL="0" distR="0">
            <wp:extent cx="5478780" cy="1381125"/>
            <wp:effectExtent l="0" t="0" r="0" b="0"/>
            <wp:docPr id="2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6"/>
        <w:ind w:left="135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8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2535"/>
        <w:gridCol w:w="2290"/>
        <w:gridCol w:w="4003"/>
      </w:tblGrid>
      <w:tr>
        <w:trPr>
          <w:trHeight w:val="450" w:hRule="atLeast"/>
        </w:trPr>
        <w:tc>
          <w:tcPr>
            <w:tcW w:w="2535" w:type="dxa"/>
            <w:tcBorders/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Tarif</w:t>
            </w:r>
          </w:p>
        </w:tc>
        <w:tc>
          <w:tcPr>
            <w:tcW w:w="2290" w:type="dxa"/>
            <w:tcBorders/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 xml:space="preserve">Měsíčně </w:t>
            </w:r>
            <w:r>
              <w:rPr>
                <w:rFonts w:eastAsia="SansationUN" w:cs="SansationUN" w:ascii="SansationUN" w:hAnsi="SansationUN"/>
                <w:sz w:val="22"/>
                <w:szCs w:val="22"/>
              </w:rPr>
              <w:t>(vč. DPH)</w:t>
            </w:r>
          </w:p>
        </w:tc>
        <w:tc>
          <w:tcPr>
            <w:tcW w:w="4003" w:type="dxa"/>
            <w:tcBorders/>
            <w:shd w:fill="B4C7D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Maximální rychlost</w:t>
            </w:r>
          </w:p>
        </w:tc>
      </w:tr>
      <w:tr>
        <w:trPr>
          <w:trHeight w:val="450" w:hRule="atLeast"/>
        </w:trPr>
        <w:tc>
          <w:tcPr>
            <w:tcW w:w="2535" w:type="dxa"/>
            <w:tcBorders/>
            <w:vAlign w:val="center"/>
          </w:tcPr>
          <w:p>
            <w:pPr>
              <w:pStyle w:val="LO-normal"/>
              <w:widowControl w:val="false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Air Standard</w:t>
            </w:r>
          </w:p>
        </w:tc>
        <w:tc>
          <w:tcPr>
            <w:tcW w:w="2290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390,- Kč</w:t>
            </w:r>
          </w:p>
        </w:tc>
        <w:tc>
          <w:tcPr>
            <w:tcW w:w="4003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50 / 15 Mbps (down/up)</w:t>
            </w:r>
          </w:p>
        </w:tc>
      </w:tr>
      <w:tr>
        <w:trPr>
          <w:trHeight w:val="450" w:hRule="atLeast"/>
        </w:trPr>
        <w:tc>
          <w:tcPr>
            <w:tcW w:w="2535" w:type="dxa"/>
            <w:tcBorders/>
            <w:vAlign w:val="center"/>
          </w:tcPr>
          <w:p>
            <w:pPr>
              <w:pStyle w:val="LO-normal"/>
              <w:widowControl w:val="false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Air Comfort</w:t>
            </w:r>
          </w:p>
        </w:tc>
        <w:tc>
          <w:tcPr>
            <w:tcW w:w="2290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450,- Kč</w:t>
            </w:r>
          </w:p>
        </w:tc>
        <w:tc>
          <w:tcPr>
            <w:tcW w:w="4003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/>
                <w:b/>
                <w:bCs/>
                <w:sz w:val="22"/>
                <w:szCs w:val="22"/>
              </w:rPr>
            </w:pPr>
            <w:r>
              <w:rPr>
                <w:rFonts w:ascii="SansationUN" w:hAnsi="SansationUN"/>
                <w:b/>
                <w:bCs/>
                <w:sz w:val="22"/>
                <w:szCs w:val="22"/>
              </w:rPr>
              <w:t>100 / 30 Mbps (down/up)</w:t>
            </w:r>
          </w:p>
        </w:tc>
      </w:tr>
      <w:tr>
        <w:trPr>
          <w:trHeight w:val="450" w:hRule="atLeast"/>
        </w:trPr>
        <w:tc>
          <w:tcPr>
            <w:tcW w:w="2535" w:type="dxa"/>
            <w:tcBorders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Air Exclusiv</w:t>
            </w:r>
          </w:p>
        </w:tc>
        <w:tc>
          <w:tcPr>
            <w:tcW w:w="2290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  <w:bCs/>
              </w:rPr>
            </w:pPr>
            <w:r>
              <w:rPr>
                <w:rFonts w:eastAsia="SansationUN" w:cs="SansationUN" w:ascii="SansationUN" w:hAnsi="SansationUN"/>
                <w:b/>
                <w:bCs/>
                <w:sz w:val="22"/>
                <w:szCs w:val="22"/>
              </w:rPr>
              <w:t>590,- Kč</w:t>
            </w:r>
          </w:p>
        </w:tc>
        <w:tc>
          <w:tcPr>
            <w:tcW w:w="4003" w:type="dxa"/>
            <w:tcBorders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150 / 50 Mbps (down/up)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 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Aktuální ceny  C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shd w:fill="auto" w:val="clear"/>
          <w:vertAlign w:val="subscript"/>
        </w:rPr>
        <w:t xml:space="preserve">MO 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 firmě United Networks SE k 01.05. 202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viz. www.u-n.cz</w:t>
        <w:br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III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ceny za služby datového toku (bitstreamu)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88" w:before="0" w:after="0"/>
        <w:ind w:left="136" w:right="133" w:hanging="0"/>
        <w:jc w:val="both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United Networks SE  stanoví velkoobchodní ceny za služby datového toku (bitstreamu) navýšením ceny za své službu VULA (viz Článek III ) o náklady související s poskytnutím přenosové kapacity do povinného předávacího bodu a přiměřený zisk, který se odvíjí od aktuálně platně ČTÚ stanovené hodnoty WACC. V případě poskytování přístupu datovému toku na Central Office (náhrada za VULA v bezdrátových sítích) se velkoobchodní cena stanoví podle podmínek stanovení ceny VULA uvedené v Článku  II. Ceny budou stanovovány individuálně dle konkrétního případu.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IV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ceny za služby kolokace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8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88" w:before="1" w:after="0"/>
        <w:ind w:left="135" w:right="13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Velkoobchodní ceny za služby kolokace poskytované v rámci povinné velkoobchodní </w:t>
      </w:r>
      <w:r>
        <w:rPr>
          <w:rFonts w:eastAsia="SansationUN" w:cs="SansationUN" w:ascii="SansationUN" w:hAnsi="SansationUN"/>
          <w:sz w:val="22"/>
          <w:szCs w:val="22"/>
        </w:rPr>
        <w:t>nabídky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v prostorách United Networks SE jsou poskytované pouze v případě, že je to technicky možné, tj. existují volné prostory a dostatečná kapacita napájení a konektivity.  Pokud není k dispozici vhodný prostor, umožní United Networks SE </w:t>
      </w:r>
      <w:r>
        <w:rPr>
          <w:rFonts w:eastAsia="SansationUN" w:cs="SansationUN" w:ascii="SansationUN" w:hAnsi="SansationUN"/>
          <w:sz w:val="22"/>
          <w:szCs w:val="22"/>
        </w:rPr>
        <w:t>umístění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zařízení Partnera v dostupné vzdálenosti mimo budovu hlavního rozvodu a poskytne mu dostatečnou součinnost pro realizaci jiného technického řešení služby kolokace.  V případě, že </w:t>
      </w:r>
      <w:r>
        <w:rPr>
          <w:rFonts w:eastAsia="SansationUN" w:cs="SansationUN" w:ascii="SansationUN" w:hAnsi="SansationUN"/>
          <w:sz w:val="22"/>
          <w:szCs w:val="22"/>
        </w:rPr>
        <w:t>služby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kolokace budou vyžadovat dodatečné investice do sdílených prostor United Networks SE vypracuje k odsouhlasení Partnerovi rozpočet a časový plán realizace těchto investic. </w:t>
        <w:br/>
        <w:t>Kalkulované ceny jsou nákladově orientované.  Ceny  zahrnují efektivně a účelně vynaložené náklady spojené s pořízením a provozováním prvků infrastruktury, vč. technologické plochy, a přiměřený zisk, který se odvíjí od  aktuálně platně ČTÚ stanovené hodnoty WACC. Kalkulace ceny není  zatěžována nákladovými položkami, které nejsou objektivně nezbytné k poskytování výše uvedených služeb.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88" w:before="1" w:after="0"/>
        <w:ind w:left="136" w:right="133" w:hanging="0"/>
        <w:jc w:val="both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ceny za služby kolokace nezahrnují přijatou dotační podporu, ale pouze vlastní (tj. nedotované) náklady vynaložené United Networks SE.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tbl>
      <w:tblPr>
        <w:tblStyle w:val="Table2"/>
        <w:tblW w:w="7934" w:type="dxa"/>
        <w:jc w:val="left"/>
        <w:tblInd w:w="4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754"/>
        <w:gridCol w:w="745"/>
        <w:gridCol w:w="2435"/>
      </w:tblGrid>
      <w:tr>
        <w:trPr>
          <w:trHeight w:val="270" w:hRule="atLeast"/>
        </w:trPr>
        <w:tc>
          <w:tcPr>
            <w:tcW w:w="47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rPr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Navrhované ceny pro kolokaci (hostig)</w:t>
            </w:r>
          </w:p>
        </w:tc>
        <w:tc>
          <w:tcPr>
            <w:tcW w:w="7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 w:eastAsia="SansationUN" w:cs="SansationUN"/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jednotka</w:t>
            </w:r>
          </w:p>
        </w:tc>
        <w:tc>
          <w:tcPr>
            <w:tcW w:w="243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Ceny v Kč měsíčně bez DPH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Port zařízení United Networks SE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HP switch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300,00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ansationUN" w:cs="SansationUN" w:ascii="SansationUN" w:hAnsi="SansationU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zh-CN" w:bidi="hi-IN"/>
              </w:rPr>
              <w:t>Bezdrátové pokrytí United Networks SE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color w:val="auto"/>
                <w:sz w:val="22"/>
                <w:szCs w:val="22"/>
                <w:highlight w:val="none"/>
                <w:shd w:fill="FFFF00" w:val="clear"/>
              </w:rPr>
            </w:pPr>
            <w:r>
              <w:rPr>
                <w:color w:val="000000"/>
                <w:sz w:val="22"/>
                <w:szCs w:val="22"/>
                <w:shd w:fill="FFFF00" w:val="clear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color w:val="auto"/>
                <w:sz w:val="22"/>
                <w:szCs w:val="22"/>
                <w:highlight w:val="none"/>
                <w:shd w:fill="FFFF00" w:val="clear"/>
              </w:rPr>
            </w:pPr>
            <w:r>
              <w:rPr>
                <w:color w:val="000000"/>
                <w:sz w:val="22"/>
                <w:szCs w:val="22"/>
                <w:shd w:fill="FFFF00" w:val="clear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ansationUN" w:cs="SansationUN" w:ascii="SansationUN" w:hAnsi="SansationU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cs-CZ" w:eastAsia="zh-CN" w:bidi="hi-IN"/>
              </w:rPr>
              <w:t>AP Sektor kapacita 270 mb/s – spotřeba do 50W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SansationUN" w:cs="SansationUN" w:ascii="SansationUN" w:hAnsi="SansationUN"/>
                <w:color w:val="000000"/>
                <w:kern w:val="0"/>
                <w:sz w:val="22"/>
                <w:szCs w:val="22"/>
                <w:shd w:fill="auto" w:val="clear"/>
                <w:lang w:val="cs-CZ" w:eastAsia="zh-CN" w:bidi="hi-IN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SansationUN" w:cs="SansationUN" w:ascii="SansationUN" w:hAnsi="SansationUN"/>
                <w:color w:val="000000"/>
                <w:kern w:val="0"/>
                <w:sz w:val="22"/>
                <w:szCs w:val="22"/>
                <w:shd w:fill="auto" w:val="clear"/>
                <w:lang w:val="cs-CZ" w:eastAsia="zh-CN" w:bidi="hi-IN"/>
              </w:rPr>
              <w:t>600,00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Hostování v racku United Networks SE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Výchozí cena max spotřeba do 100 W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1U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850,00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2U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1 150,00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3U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1 450,00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4U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1 750,00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Platba za elektřinu dle štítku zařízení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Dedikovaný managment port s veřejnou IP adresou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312" w:hRule="atLeast"/>
        </w:trPr>
        <w:tc>
          <w:tcPr>
            <w:tcW w:w="4754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82,00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Každá další IP adresa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82,00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IP KVM Switch pro vzdálenou správu zdarma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0,00</w:t>
            </w:r>
          </w:p>
        </w:tc>
      </w:tr>
      <w:tr>
        <w:trPr>
          <w:trHeight w:val="270" w:hRule="atLeast"/>
        </w:trPr>
        <w:tc>
          <w:tcPr>
            <w:tcW w:w="7934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br/>
              <w:t>Vlastní zařízení, užití pronajaté plochy</w:t>
            </w:r>
          </w:p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Základní cena měsíčně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300,00</w:t>
            </w:r>
          </w:p>
        </w:tc>
      </w:tr>
      <w:tr>
        <w:trPr>
          <w:trHeight w:val="270" w:hRule="atLeast"/>
        </w:trPr>
        <w:tc>
          <w:tcPr>
            <w:tcW w:w="47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Cena nájmu Partnera podle poměrné plochy *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Kč</w:t>
            </w:r>
          </w:p>
        </w:tc>
        <w:tc>
          <w:tcPr>
            <w:tcW w:w="243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 </w:t>
            </w:r>
            <w:r>
              <w:rPr>
                <w:rFonts w:eastAsia="SansationUN" w:cs="SansationUN" w:ascii="SansationUN" w:hAnsi="SansationUN"/>
                <w:sz w:val="22"/>
                <w:szCs w:val="22"/>
              </w:rPr>
              <w:t>Dle výpočtu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* Cena nájmu Partnera se vypočítá, podle následující ho vzorce. V případě,  že se bude jednat o vlastní prostory United Networks SE, bude se počítat cena nájmu podle cen obvyklých v dané lokalitě. </w:t>
        <w:br/>
        <w:br/>
        <w:t xml:space="preserve">Pp </w:t>
        <w:tab/>
        <w:tab/>
        <w:t xml:space="preserve">- </w:t>
        <w:tab/>
        <w:t>Plocha zařízení zabraná Partnerem</w:t>
        <w:br/>
        <w:t xml:space="preserve">Pi  </w:t>
        <w:tab/>
        <w:tab/>
        <w:t>-</w:t>
        <w:tab/>
        <w:t>Plocha zařízení zabraná United Networks SE</w:t>
        <w:br/>
        <w:t>CCN</w:t>
        <w:tab/>
        <w:tab/>
        <w:t>-</w:t>
        <w:tab/>
        <w:t>Celkový nájem za celkovou plochu</w:t>
        <w:br/>
        <w:t>Np</w:t>
        <w:tab/>
        <w:tab/>
        <w:t>-</w:t>
        <w:tab/>
        <w:t xml:space="preserve">Nájem účtovaný United Networks SE Partnerovi </w:t>
        <w:br/>
        <w:t>WACC</w:t>
        <w:tab/>
        <w:tab/>
        <w:t>-</w:t>
        <w:tab/>
        <w:t>Přiměřený profit dle ČTÚ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Np = (CCN/(Pp+Pi) *Pp)* (1+ WACC/100)</w:t>
        <w:br/>
        <w:br/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0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 ceny za aktivaci služeb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8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90" w:before="0" w:after="0"/>
        <w:ind w:left="135" w:right="135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Velkoobchodní jednorázové ceny za aktivaci služeb a měsíční udržovací poplatek zahrnují náklady, vč. přiměřeného zisku, který se odvíjí od aktuálně platné ČTÚ stanovené hodnoty WACC, na nezbytně nutné procesy pro zřízení služby. Mezi tyto procesy například patří:</w:t>
        <w:br/>
      </w:r>
    </w:p>
    <w:tbl>
      <w:tblPr>
        <w:tblStyle w:val="Table3"/>
        <w:tblW w:w="83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761"/>
        <w:gridCol w:w="1077"/>
        <w:gridCol w:w="2525"/>
      </w:tblGrid>
      <w:tr>
        <w:trPr>
          <w:trHeight w:val="270" w:hRule="atLeast"/>
        </w:trPr>
        <w:tc>
          <w:tcPr>
            <w:tcW w:w="47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rPr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Velkoobchodní jednorázové ceny za aktivaci služeb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Hod.</w:t>
            </w:r>
          </w:p>
          <w:p>
            <w:pPr>
              <w:pStyle w:val="LO-normal"/>
              <w:widowControl w:val="false"/>
              <w:jc w:val="right"/>
              <w:rPr>
                <w:rFonts w:ascii="SansationUN" w:hAnsi="SansationUN" w:eastAsia="SansationUN" w:cs="SansationUN"/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</w:r>
          </w:p>
        </w:tc>
        <w:tc>
          <w:tcPr>
            <w:tcW w:w="252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fill="B4C7DC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b/>
                <w:sz w:val="22"/>
                <w:szCs w:val="22"/>
              </w:rPr>
              <w:t>Jednorázová cena v Kč bez DPH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Přijmutí objednávky, vnitřní komunikace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</w:t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413,21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Ověřování a zpracování v databázích, interní zpracování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</w:t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413,21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Měsíční udržovací poplatek v systému za jednoho KZP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rFonts w:ascii="SansationUN" w:hAnsi="SansationUN" w:eastAsia="SansationUN" w:cs="SansationUN"/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5,00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Konzultace a vyhodnocení plánu služeb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2</w:t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826,44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2</w:t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2 000,00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Konfigurace síťových prvků Gpon 1 hod.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</w:t>
            </w:r>
          </w:p>
        </w:tc>
        <w:tc>
          <w:tcPr>
            <w:tcW w:w="2525" w:type="dxa"/>
            <w:tcBorders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1 000,00</w:t>
            </w:r>
          </w:p>
        </w:tc>
      </w:tr>
      <w:tr>
        <w:trPr>
          <w:trHeight w:val="270" w:hRule="atLeast"/>
        </w:trPr>
        <w:tc>
          <w:tcPr>
            <w:tcW w:w="476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Měření koncového bodu, testovací měření</w:t>
            </w:r>
          </w:p>
        </w:tc>
        <w:tc>
          <w:tcPr>
            <w:tcW w:w="1077" w:type="dxa"/>
            <w:tcBorders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</w:t>
            </w:r>
          </w:p>
        </w:tc>
        <w:tc>
          <w:tcPr>
            <w:tcW w:w="252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LO-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rFonts w:eastAsia="SansationUN" w:cs="SansationUN" w:ascii="SansationUN" w:hAnsi="SansationUN"/>
                <w:sz w:val="22"/>
                <w:szCs w:val="22"/>
              </w:rPr>
              <w:t>1 000,00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90" w:before="0" w:after="0"/>
        <w:ind w:left="135" w:right="135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t xml:space="preserve">Ceny dalších prací se budou odvíjet podle platného ceníku firmy  United Networks SE, včetně minimálních cen prací. </w:t>
        <w:br/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280" w:after="280"/>
        <w:ind w:left="567" w:right="613" w:hanging="0"/>
        <w:jc w:val="center"/>
        <w:rPr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Relace mezi maloobchodními cenami vertikálně integrovaného operátora (příjemce dotační podpory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)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0"/>
        <w:ind w:left="135" w:right="0" w:hanging="0"/>
        <w:jc w:val="both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Struktura maloobchodních služeb je stanovena rozhodnutím příjemce dotační podpory.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90" w:before="58" w:after="0"/>
        <w:ind w:left="135" w:right="135" w:hanging="0"/>
        <w:jc w:val="both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Pokud jsou v portfoliu maloobchodních služeb United Networks SE i balíčky služeb, stanoví United Networks SE maloobchodní ceny balíčků služeb tak, aby doplňkové služby k službě přístupu k síti Internetu nebyly nabízeny za méně, než jsou dodatečné náklady na jejich poskytování. Doplňkovou službou se rozumí jakákoliv služba nabízená v balíčku služeb, kromě služby přístupu k síti Internet. </w:t>
      </w:r>
    </w:p>
    <w:p>
      <w:pPr>
        <w:pStyle w:val="LO-normal"/>
        <w:widowControl w:val="false"/>
        <w:shd w:val="clear" w:fill="auto"/>
        <w:spacing w:lineRule="auto" w:line="290" w:before="58" w:after="0"/>
        <w:ind w:left="135" w:right="135" w:hanging="0"/>
        <w:jc w:val="both"/>
        <w:rPr>
          <w:b/>
          <w:sz w:val="22"/>
          <w:szCs w:val="22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Doplňkové služby formou balíčku služeb nejsou v tuto chvíli v síti United Networks SE nabízeny.</w:t>
      </w:r>
    </w:p>
    <w:p>
      <w:pPr>
        <w:pStyle w:val="LO-normal"/>
        <w:widowControl w:val="false"/>
        <w:shd w:val="clear" w:fill="auto"/>
        <w:spacing w:lineRule="auto" w:line="290" w:before="58" w:after="0"/>
        <w:ind w:left="135" w:right="135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-normal"/>
        <w:widowControl w:val="false"/>
        <w:shd w:val="clear" w:fill="auto"/>
        <w:spacing w:lineRule="auto" w:line="290" w:before="58" w:after="0"/>
        <w:ind w:left="135" w:right="135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3" w:after="0"/>
        <w:ind w:left="135" w:right="0" w:hanging="0"/>
        <w:jc w:val="both"/>
        <w:rPr>
          <w:sz w:val="22"/>
          <w:szCs w:val="22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635</wp:posOffset>
            </wp:positionH>
            <wp:positionV relativeFrom="paragraph">
              <wp:posOffset>210820</wp:posOffset>
            </wp:positionV>
            <wp:extent cx="4427855" cy="1533525"/>
            <wp:effectExtent l="0" t="0" r="0" b="0"/>
            <wp:wrapTopAndBottom/>
            <wp:docPr id="3" name="image2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Výše uvedenou podmínku lze vyjádřit tímto vztahem: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sz w:val="22"/>
          <w:szCs w:val="22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br/>
        <w:br/>
        <w:t xml:space="preserve">                        </w:t>
      </w:r>
    </w:p>
    <w:p>
      <w:pPr>
        <w:pStyle w:val="LO-normal"/>
        <w:keepNext w:val="false"/>
        <w:keepLines w:val="false"/>
        <w:pageBreakBefore w:val="false"/>
        <w:widowControl w:val="false"/>
        <w:numPr>
          <w:ilvl w:val="0"/>
          <w:numId w:val="1"/>
        </w:numPr>
        <w:shd w:val="clear" w:fill="auto"/>
        <w:spacing w:lineRule="auto" w:line="240" w:before="10" w:after="0"/>
        <w:ind w:left="720" w:hanging="360"/>
        <w:jc w:val="left"/>
        <w:rPr/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Veřejně dostupnými nabídkami se rozumí nabídky příjemců dotační podpory a případně další dostupné nabídky. Benchmark se provádí v ročním intervalu jako aritmetický průměr cen z veřejně dostupných nabídek</w:t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417" w:right="1417" w:gutter="0" w:header="708" w:top="1417" w:footer="708" w:bottom="765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swiss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SansationUN">
    <w:charset w:val="ee"/>
    <w:family w:val="roman"/>
    <w:pitch w:val="variable"/>
  </w:font>
  <w:font w:name="quo">
    <w:charset w:val="ee"/>
    <w:family w:val="roman"/>
    <w:pitch w:val="variable"/>
  </w:font>
  <w:font w:name="Bookman Old Style">
    <w:charset w:val="ee"/>
    <w:family w:val="roman"/>
    <w:pitch w:val="variable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Příloha č. 5 – Ceny a způsob jejich určení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Příloha č. 5 – Ceny a způsob jejich určení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mc:AlternateContent>
        <mc:Choice Requires="wps">
          <w:drawing>
            <wp:anchor behindDoc="1" distT="10160" distB="10160" distL="9525" distR="9525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6990" cy="46990"/>
              <wp:effectExtent l="9525" t="10160" r="9525" b="10160"/>
              <wp:wrapNone/>
              <wp:docPr id="4" name="Obrázek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47160" cy="47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Obsahrmce"/>
                            <w:spacing w:lineRule="exact" w:line="240" w:before="0" w:after="0"/>
                            <w:ind w:left="0" w:right="0" w:hanging="0"/>
                            <w:jc w:val="center"/>
                            <w:rPr/>
                          </w:pPr>
                          <w:r>
                            <w:rPr>
                              <w:rFonts w:eastAsia="quo" w:cs="quo" w:ascii="quo" w:hAnsi="quo"/>
                              <w:b w:val="false"/>
                              <w:i w:val="false"/>
                              <w:caps w:val="false"/>
                              <w:smallCaps w:val="false"/>
                              <w:strike w:val="false"/>
                              <w:dstrike w:val="false"/>
                              <w:color w:val="FFFFFF"/>
                              <w:position w:val="0"/>
                              <w:sz w:val="144"/>
                              <w:sz w:val="144"/>
                              <w:vertAlign w:val="baseline"/>
                            </w:rPr>
                            <w:t>Návrh</w:t>
                          </w:r>
                        </w:p>
                      </w:txbxContent>
                    </wps:txbx>
                    <wps:bodyPr tIns="-43920" bIns="-4392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ázek1" path="m0,0l-2147483645,0l-2147483645,-2147483646l0,-2147483646xe" stroked="f" o:allowincell="f" style="position:absolute;margin-left:0pt;margin-top:-0.05pt;width:3.65pt;height:3.65pt;mso-wrap-style:square;v-text-anchor:middle;rotation:315;mso-position-horizontal:center;mso-position-horizontal-relative:margin;mso-position-vertical:center;mso-position-vertic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Obsahrmce"/>
                      <w:spacing w:lineRule="exact" w:line="240" w:before="0" w:after="0"/>
                      <w:ind w:left="0" w:right="0" w:hanging="0"/>
                      <w:jc w:val="center"/>
                      <w:rPr/>
                    </w:pPr>
                    <w:r>
                      <w:rPr>
                        <w:rFonts w:eastAsia="quo" w:cs="quo" w:ascii="quo" w:hAnsi="quo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FFFFFF"/>
                        <w:position w:val="0"/>
                        <w:sz w:val="144"/>
                        <w:sz w:val="144"/>
                        <w:vertAlign w:val="baseline"/>
                      </w:rPr>
                      <w:t>Návrh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Příloha č. 5 – Ceny a způsob jejich určení</w:t>
    </w:r>
  </w:p>
  <w:p>
    <w:pPr>
      <w:pStyle w:val="LO-normal"/>
      <w:rPr>
        <w:rFonts w:ascii="SansationUN" w:hAnsi="SansationUN" w:eastAsia="SansationUN" w:cs="SansationUN"/>
      </w:rPr>
    </w:pPr>
    <w:r>
      <w:rPr>
        <w:rFonts w:eastAsia="SansationUN" w:cs="SansationUN" w:ascii="SansationUN" w:hAnsi="SansationU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Příloha č. 5 – Ceny a způsob jejich určení</w:t>
    </w:r>
  </w:p>
  <w:p>
    <w:pPr>
      <w:pStyle w:val="LO-normal"/>
      <w:rPr>
        <w:rFonts w:ascii="SansationUN" w:hAnsi="SansationUN" w:eastAsia="SansationUN" w:cs="SansationUN"/>
      </w:rPr>
    </w:pPr>
    <w:r>
      <w:rPr>
        <w:rFonts w:eastAsia="SansationUN" w:cs="SansationUN" w:ascii="SansationUN" w:hAnsi="SansationU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25625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cs-CZ" w:eastAsia="cs-CZ" w:bidi="ar-SA"/>
    </w:rPr>
  </w:style>
  <w:style w:type="paragraph" w:styleId="Nadpis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Nadpis2">
    <w:name w:val="Heading 2"/>
    <w:basedOn w:val="LO-normal"/>
    <w:next w:val="LO-normal"/>
    <w:link w:val="Nadpis2Char"/>
    <w:uiPriority w:val="9"/>
    <w:semiHidden/>
    <w:unhideWhenUsed/>
    <w:qFormat/>
    <w:rsid w:val="002b702c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dpis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Nadpis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Nadpis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Nadpis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Nadpis9">
    <w:name w:val="Heading 9"/>
    <w:basedOn w:val="LO-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Hyperlink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FollowedHyperlink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-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Nadpis2Char" w:customStyle="1">
    <w:name w:val="Nadpis 2 Char"/>
    <w:basedOn w:val="DefaultParagraphFont"/>
    <w:uiPriority w:val="9"/>
    <w:semiHidden/>
    <w:qFormat/>
    <w:rsid w:val="002b702c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cs-CZ"/>
    </w:rPr>
  </w:style>
  <w:style w:type="character" w:styleId="Strong">
    <w:name w:val="Strong"/>
    <w:basedOn w:val="DefaultParagraphFont"/>
    <w:uiPriority w:val="22"/>
    <w:qFormat/>
    <w:rsid w:val="00ec1bc6"/>
    <w:rPr>
      <w:b/>
      <w:bCs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paragraph" w:styleId="Nadpis">
    <w:name w:val="Nadpis"/>
    <w:basedOn w:val="LO-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LO-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LO-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LO-normal"/>
    <w:qFormat/>
    <w:pPr>
      <w:suppressLineNumbers/>
    </w:pPr>
    <w:rPr>
      <w:rFonts w:cs="Arial"/>
      <w:lang w:val="zxx" w:eastAsia="zxx" w:bidi="zxx"/>
    </w:rPr>
  </w:style>
  <w:style w:type="paragraph" w:styleId="LO-normal1" w:default="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cs-CZ" w:eastAsia="zh-CN" w:bidi="hi-IN"/>
    </w:rPr>
  </w:style>
  <w:style w:type="paragraph" w:styleId="Nzev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cs-CZ" w:eastAsia="zh-CN" w:bidi="hi-IN"/>
    </w:rPr>
  </w:style>
  <w:style w:type="paragraph" w:styleId="NormalWeb">
    <w:name w:val="Normal (Web)"/>
    <w:basedOn w:val="LO-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LO-normal"/>
    <w:link w:val="OdstavecseseznamemChar"/>
    <w:uiPriority w:val="1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LO-normal"/>
    <w:link w:val="CETINTextlnkuChar"/>
    <w:qFormat/>
    <w:rsid w:val="00072472"/>
    <w:p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tabs>
        <w:tab w:val="clear" w:pos="720"/>
        <w:tab w:val="left" w:pos="4188" w:leader="none"/>
      </w:tabs>
      <w:suppressAutoHyphens w:val="true"/>
      <w:spacing w:lineRule="auto" w:line="319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LO-normal"/>
    <w:next w:val="LO-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LO-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LO-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LO-normal"/>
    <w:qFormat/>
    <w:pPr/>
    <w:rPr/>
  </w:style>
  <w:style w:type="paragraph" w:styleId="Zhlav">
    <w:name w:val="Header"/>
    <w:basedOn w:val="LO-normal"/>
    <w:link w:val="ZhlavChar"/>
    <w:uiPriority w:val="99"/>
    <w:unhideWhenUsed/>
    <w:rsid w:val="0063414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pat">
    <w:name w:val="Footer"/>
    <w:basedOn w:val="LO-normal"/>
    <w:link w:val="ZpatChar"/>
    <w:uiPriority w:val="99"/>
    <w:unhideWhenUsed/>
    <w:rsid w:val="0063414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LO-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paragraph" w:styleId="Podtitul">
    <w:name w:val="Subtitle"/>
    <w:basedOn w:val="LO-normal1"/>
    <w:next w:val="LO-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Obsahrmce">
    <w:name w:val="Obsah rámce"/>
    <w:basedOn w:val="LO-normal1"/>
    <w:qFormat/>
    <w:pPr/>
    <w:rPr/>
  </w:style>
  <w:style w:type="paragraph" w:styleId="Obsahtabulky">
    <w:name w:val="Obsah tabulky"/>
    <w:basedOn w:val="LO-normal1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x1/OxYQDvrbZppkvFA8rK6reRIA==">AMUW2mWdaRtX39F/RGojsWdgluFm1fwTLDdSHxOurPCZkC8ZSmpmpH3sxjn9CO6udBa8Cg/aPS/Is4xT4OixC5Ng5HZFvUYObNgssv9E4+qCBVJwwerbnVJlh5QAEIQ3IFOYA27ejYyg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LibreOffice/7.5.0.3$Windows_X86_64 LibreOffice_project/c21113d003cd3efa8c53188764377a8272d9d6de</Application>
  <AppVersion>15.0000</AppVersion>
  <Pages>6</Pages>
  <Words>1180</Words>
  <Characters>6898</Characters>
  <CharactersWithSpaces>8053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2022-04-25T06:33:00Z</dcterms:created>
  <dc:creator>Jiří Novotný</dc:creator>
  <dc:description/>
  <dc:language>cs-CZ</dc:language>
  <cp:lastModifiedBy/>
  <dcterms:modified xsi:type="dcterms:W3CDTF">2023-05-12T17:36:49Z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